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50" w:rsidRPr="00F63557" w:rsidRDefault="00783450" w:rsidP="00B12343">
      <w:pPr>
        <w:rPr>
          <w:b/>
          <w:bCs/>
          <w:sz w:val="24"/>
          <w:szCs w:val="24"/>
          <w:lang w:val="en-AU"/>
        </w:rPr>
      </w:pPr>
      <w:r>
        <w:rPr>
          <w:b/>
          <w:bCs/>
          <w:sz w:val="24"/>
          <w:szCs w:val="24"/>
          <w:lang w:val="en-AU"/>
        </w:rPr>
        <w:t>DISSEMINATION REPORT KIRIBATI</w:t>
      </w:r>
    </w:p>
    <w:p w:rsidR="00783450" w:rsidRPr="00F010BA" w:rsidRDefault="00783450" w:rsidP="00B12343">
      <w:pPr>
        <w:rPr>
          <w:lang w:val="en-AU"/>
        </w:rPr>
      </w:pPr>
    </w:p>
    <w:p w:rsidR="00783450" w:rsidRPr="00F010BA" w:rsidRDefault="00783450" w:rsidP="00B12343">
      <w:pPr>
        <w:rPr>
          <w:b/>
          <w:bCs/>
        </w:rPr>
      </w:pPr>
    </w:p>
    <w:p w:rsidR="00783450" w:rsidRPr="00B44442" w:rsidRDefault="00783450" w:rsidP="00B12343">
      <w:pPr>
        <w:rPr>
          <w:b/>
          <w:bCs/>
          <w:sz w:val="22"/>
          <w:szCs w:val="22"/>
        </w:rPr>
      </w:pPr>
      <w:r w:rsidRPr="00B44442">
        <w:rPr>
          <w:b/>
          <w:bCs/>
          <w:sz w:val="22"/>
          <w:szCs w:val="22"/>
        </w:rPr>
        <w:t xml:space="preserve">LAUNCHING OF THE INITIAL FINDINGS OF THE STUDY 2008 </w:t>
      </w:r>
    </w:p>
    <w:p w:rsidR="00783450" w:rsidRPr="00B44442" w:rsidRDefault="00783450" w:rsidP="00B12343">
      <w:pPr>
        <w:rPr>
          <w:sz w:val="22"/>
          <w:szCs w:val="22"/>
        </w:rPr>
      </w:pPr>
    </w:p>
    <w:p w:rsidR="00783450" w:rsidRPr="00B44442" w:rsidRDefault="00783450" w:rsidP="00B12343">
      <w:pPr>
        <w:rPr>
          <w:sz w:val="22"/>
          <w:szCs w:val="22"/>
        </w:rPr>
      </w:pPr>
      <w:r w:rsidRPr="00B44442">
        <w:rPr>
          <w:sz w:val="22"/>
          <w:szCs w:val="22"/>
        </w:rPr>
        <w:t>A consultative meeting was held with top church leaders on 3</w:t>
      </w:r>
      <w:r w:rsidRPr="00B44442">
        <w:rPr>
          <w:sz w:val="22"/>
          <w:szCs w:val="22"/>
          <w:vertAlign w:val="superscript"/>
        </w:rPr>
        <w:t>rd</w:t>
      </w:r>
      <w:r w:rsidRPr="00B44442">
        <w:rPr>
          <w:sz w:val="22"/>
          <w:szCs w:val="22"/>
        </w:rPr>
        <w:t xml:space="preserve"> December to discuss the findings of the study and how churched could assist towards addressing the social issue.  On 3</w:t>
      </w:r>
      <w:r w:rsidRPr="00B44442">
        <w:rPr>
          <w:sz w:val="22"/>
          <w:szCs w:val="22"/>
          <w:vertAlign w:val="superscript"/>
        </w:rPr>
        <w:t>rd</w:t>
      </w:r>
      <w:r w:rsidRPr="00B44442">
        <w:rPr>
          <w:sz w:val="22"/>
          <w:szCs w:val="22"/>
        </w:rPr>
        <w:t xml:space="preserve"> December, launching of the initial findings by the President to government and civil society communities at the State House was done with some awareness raising on GBV performances from participating members of civil society.  This was followed by the visit to MPs on 4</w:t>
      </w:r>
      <w:r w:rsidRPr="00B44442">
        <w:rPr>
          <w:sz w:val="22"/>
          <w:szCs w:val="22"/>
          <w:vertAlign w:val="superscript"/>
        </w:rPr>
        <w:t>th</w:t>
      </w:r>
      <w:r w:rsidRPr="00B44442">
        <w:rPr>
          <w:sz w:val="22"/>
          <w:szCs w:val="22"/>
        </w:rPr>
        <w:t xml:space="preserve"> December 2008 to discuss the findings of the study.  From the consultation with MPs, it was agreed that a visit would require their support as they are people of influence and their company to the sites to be visited can be of high benefit to how the issue is addressed.      </w:t>
      </w:r>
    </w:p>
    <w:p w:rsidR="00783450" w:rsidRPr="00B44442" w:rsidRDefault="00783450" w:rsidP="00B12343">
      <w:pPr>
        <w:pStyle w:val="ListParagraph"/>
        <w:rPr>
          <w:rFonts w:cs="Times New Roman"/>
          <w:b/>
          <w:bCs/>
        </w:rPr>
      </w:pPr>
    </w:p>
    <w:p w:rsidR="00783450" w:rsidRDefault="00783450" w:rsidP="00B12343">
      <w:pPr>
        <w:rPr>
          <w:b/>
          <w:bCs/>
          <w:sz w:val="22"/>
          <w:szCs w:val="22"/>
        </w:rPr>
      </w:pPr>
      <w:r w:rsidRPr="00B44442">
        <w:rPr>
          <w:b/>
          <w:bCs/>
          <w:sz w:val="22"/>
          <w:szCs w:val="22"/>
        </w:rPr>
        <w:t xml:space="preserve">DEVELOPING A DISSEMINATION TOOL ON THE FINDINGS OF THE STUDY MARCH - APRIL 2009 </w:t>
      </w:r>
    </w:p>
    <w:p w:rsidR="00783450" w:rsidRPr="00B44442" w:rsidRDefault="00783450" w:rsidP="00B12343">
      <w:pPr>
        <w:rPr>
          <w:b/>
          <w:bCs/>
          <w:sz w:val="22"/>
          <w:szCs w:val="22"/>
        </w:rPr>
      </w:pPr>
    </w:p>
    <w:p w:rsidR="00783450" w:rsidRPr="00B44442" w:rsidRDefault="00783450" w:rsidP="00B12343">
      <w:pPr>
        <w:rPr>
          <w:sz w:val="22"/>
          <w:szCs w:val="22"/>
        </w:rPr>
      </w:pPr>
      <w:r w:rsidRPr="00B44442">
        <w:rPr>
          <w:sz w:val="22"/>
          <w:szCs w:val="22"/>
        </w:rPr>
        <w:t xml:space="preserve">A video film was produced with the assistance of Nei Taberanikai to use for wider dissemination of the findings of the study.  During Easter,  a total of </w:t>
      </w:r>
      <w:r>
        <w:rPr>
          <w:sz w:val="22"/>
          <w:szCs w:val="22"/>
        </w:rPr>
        <w:t>100 DVDs were</w:t>
      </w:r>
      <w:r w:rsidRPr="00B44442">
        <w:rPr>
          <w:sz w:val="22"/>
          <w:szCs w:val="22"/>
        </w:rPr>
        <w:t xml:space="preserve"> distributed by Nei Taberanikai to all islands as part of a wider national campaign on EVAW and DV.  These video films had been used in some of the dissemination in both South Tarawa and Outer Islands.  Expenses of this undertaking go under the dissemination funds.   It was noted that some outer island contacts have viewed it but there was no proper recording of the community’s reaction.  </w:t>
      </w:r>
    </w:p>
    <w:p w:rsidR="00783450" w:rsidRPr="00B44442" w:rsidRDefault="00783450" w:rsidP="00B12343">
      <w:pPr>
        <w:pStyle w:val="ListParagraph"/>
        <w:rPr>
          <w:rFonts w:cs="Times New Roman"/>
          <w:b/>
          <w:bCs/>
        </w:rPr>
      </w:pPr>
    </w:p>
    <w:p w:rsidR="00783450" w:rsidRDefault="00783450" w:rsidP="00B12343">
      <w:pPr>
        <w:rPr>
          <w:b/>
          <w:bCs/>
          <w:sz w:val="22"/>
          <w:szCs w:val="22"/>
        </w:rPr>
      </w:pPr>
      <w:r w:rsidRPr="00B44442">
        <w:rPr>
          <w:b/>
          <w:bCs/>
          <w:sz w:val="22"/>
          <w:szCs w:val="22"/>
        </w:rPr>
        <w:t>DEVELOPING THE CO</w:t>
      </w:r>
      <w:r>
        <w:rPr>
          <w:b/>
          <w:bCs/>
          <w:sz w:val="22"/>
          <w:szCs w:val="22"/>
        </w:rPr>
        <w:t>MMUNICATION STRATEGY WITH UNFPA</w:t>
      </w:r>
      <w:r w:rsidRPr="00B44442">
        <w:rPr>
          <w:b/>
          <w:bCs/>
          <w:sz w:val="22"/>
          <w:szCs w:val="22"/>
        </w:rPr>
        <w:t>: 18</w:t>
      </w:r>
      <w:r w:rsidRPr="00B44442">
        <w:rPr>
          <w:b/>
          <w:bCs/>
          <w:sz w:val="22"/>
          <w:szCs w:val="22"/>
          <w:vertAlign w:val="superscript"/>
        </w:rPr>
        <w:t xml:space="preserve">- </w:t>
      </w:r>
      <w:r w:rsidRPr="00B44442">
        <w:rPr>
          <w:b/>
          <w:bCs/>
          <w:sz w:val="22"/>
          <w:szCs w:val="22"/>
        </w:rPr>
        <w:t>22</w:t>
      </w:r>
      <w:r w:rsidRPr="00B44442">
        <w:rPr>
          <w:b/>
          <w:bCs/>
          <w:sz w:val="22"/>
          <w:szCs w:val="22"/>
          <w:vertAlign w:val="superscript"/>
        </w:rPr>
        <w:t>ND</w:t>
      </w:r>
      <w:r w:rsidRPr="00B44442">
        <w:rPr>
          <w:b/>
          <w:bCs/>
          <w:sz w:val="22"/>
          <w:szCs w:val="22"/>
        </w:rPr>
        <w:t xml:space="preserve"> JUNE 2009 </w:t>
      </w:r>
    </w:p>
    <w:p w:rsidR="00783450" w:rsidRPr="00B44442" w:rsidRDefault="00783450" w:rsidP="00B12343">
      <w:pPr>
        <w:rPr>
          <w:b/>
          <w:bCs/>
          <w:sz w:val="22"/>
          <w:szCs w:val="22"/>
        </w:rPr>
      </w:pPr>
    </w:p>
    <w:p w:rsidR="00783450" w:rsidRPr="00B44442" w:rsidRDefault="00783450" w:rsidP="00B12343">
      <w:pPr>
        <w:rPr>
          <w:sz w:val="22"/>
          <w:szCs w:val="22"/>
        </w:rPr>
      </w:pPr>
      <w:r w:rsidRPr="00B44442">
        <w:rPr>
          <w:sz w:val="22"/>
          <w:szCs w:val="22"/>
        </w:rPr>
        <w:t>Consultation with a Technical Assistance from UNFPA took place on 18</w:t>
      </w:r>
      <w:r w:rsidRPr="00B44442">
        <w:rPr>
          <w:sz w:val="22"/>
          <w:szCs w:val="22"/>
          <w:vertAlign w:val="superscript"/>
        </w:rPr>
        <w:t>th</w:t>
      </w:r>
      <w:r w:rsidRPr="00B44442">
        <w:rPr>
          <w:sz w:val="22"/>
          <w:szCs w:val="22"/>
        </w:rPr>
        <w:t xml:space="preserve"> to 22</w:t>
      </w:r>
      <w:r w:rsidRPr="00B44442">
        <w:rPr>
          <w:sz w:val="22"/>
          <w:szCs w:val="22"/>
          <w:vertAlign w:val="superscript"/>
        </w:rPr>
        <w:t>nd</w:t>
      </w:r>
      <w:r w:rsidRPr="00B44442">
        <w:rPr>
          <w:sz w:val="22"/>
          <w:szCs w:val="22"/>
        </w:rPr>
        <w:t xml:space="preserve"> June on developing a Communication Strategy on the dissemination of the findings of the VAWC was made.  Key stakeholders from the Kiribati Protestant Church, the Catholic Church, the Police, the women NGOs, the Attorney General, KANGO, AMAK, the AAFR, the Crisis Centre, the Statistics and MISA selected staff were present at the consultation.  Discussions regarding how the message is to be delivered included the following: use of a factual sheet in vernacular that is simple to read by communities and a mixed team from key stakeholders.     </w:t>
      </w:r>
    </w:p>
    <w:p w:rsidR="00783450" w:rsidRPr="00B44442" w:rsidRDefault="00783450" w:rsidP="00B12343">
      <w:pPr>
        <w:rPr>
          <w:b/>
          <w:bCs/>
          <w:sz w:val="22"/>
          <w:szCs w:val="22"/>
        </w:rPr>
      </w:pPr>
    </w:p>
    <w:p w:rsidR="00783450" w:rsidRPr="00B44442" w:rsidRDefault="00783450" w:rsidP="00B12343">
      <w:pPr>
        <w:rPr>
          <w:b/>
          <w:bCs/>
          <w:sz w:val="22"/>
          <w:szCs w:val="22"/>
        </w:rPr>
      </w:pPr>
    </w:p>
    <w:p w:rsidR="00783450" w:rsidRPr="00B44442" w:rsidRDefault="00783450" w:rsidP="00B12343">
      <w:pPr>
        <w:rPr>
          <w:b/>
          <w:bCs/>
          <w:sz w:val="22"/>
          <w:szCs w:val="22"/>
        </w:rPr>
      </w:pPr>
    </w:p>
    <w:p w:rsidR="00783450" w:rsidRDefault="00783450" w:rsidP="00B12343">
      <w:pPr>
        <w:rPr>
          <w:b/>
          <w:bCs/>
          <w:sz w:val="22"/>
          <w:szCs w:val="22"/>
        </w:rPr>
      </w:pPr>
      <w:r w:rsidRPr="00B44442">
        <w:rPr>
          <w:b/>
          <w:bCs/>
          <w:sz w:val="22"/>
          <w:szCs w:val="22"/>
        </w:rPr>
        <w:t>EVALUATION OF THE DISSEMINATION FORUMS ON SOUTH TARAWA 7</w:t>
      </w:r>
      <w:r w:rsidRPr="00B44442">
        <w:rPr>
          <w:b/>
          <w:bCs/>
          <w:sz w:val="22"/>
          <w:szCs w:val="22"/>
          <w:vertAlign w:val="superscript"/>
        </w:rPr>
        <w:t>TH</w:t>
      </w:r>
      <w:r w:rsidRPr="00B44442">
        <w:rPr>
          <w:b/>
          <w:bCs/>
          <w:sz w:val="22"/>
          <w:szCs w:val="22"/>
        </w:rPr>
        <w:t xml:space="preserve"> JULY </w:t>
      </w:r>
    </w:p>
    <w:p w:rsidR="00783450" w:rsidRPr="00B44442" w:rsidRDefault="00783450" w:rsidP="00B12343">
      <w:pPr>
        <w:rPr>
          <w:b/>
          <w:bCs/>
          <w:sz w:val="22"/>
          <w:szCs w:val="22"/>
        </w:rPr>
      </w:pPr>
    </w:p>
    <w:p w:rsidR="00783450" w:rsidRPr="00B44442" w:rsidRDefault="00783450" w:rsidP="00B12343">
      <w:pPr>
        <w:rPr>
          <w:sz w:val="22"/>
          <w:szCs w:val="22"/>
        </w:rPr>
      </w:pPr>
      <w:r w:rsidRPr="00B44442">
        <w:rPr>
          <w:sz w:val="22"/>
          <w:szCs w:val="22"/>
        </w:rPr>
        <w:t>After the first round of dissemination on South Tarawa, the team gathered again  at MISA, Bairiki on 7</w:t>
      </w:r>
      <w:r w:rsidRPr="00B44442">
        <w:rPr>
          <w:sz w:val="22"/>
          <w:szCs w:val="22"/>
          <w:vertAlign w:val="superscript"/>
        </w:rPr>
        <w:t>th</w:t>
      </w:r>
      <w:r w:rsidRPr="00B44442">
        <w:rPr>
          <w:sz w:val="22"/>
          <w:szCs w:val="22"/>
        </w:rPr>
        <w:t xml:space="preserve"> July to evaluate their dissemination in various sites on South Tarawa (urban Kiribati).  The following were raised and to take note of in future outreach programs.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No naming of people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Preference of a trusted male leader to deliver the message to his fellow men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Points discussed follow the factual sheet for consistency purposes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Participation of members of the team to deliver the message to selected audience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Time control to be more conscious of when delivering the message on VAW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No fun and jokes when speaking about DV / VAW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Team leader or anybody to advise on anything that the group feels need addressing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In large audiences use grouping activities to obtain feedback in sessions that do not have very good response when invited to make responses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Patience when questions that are relevant to the issue are raised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Use we instead of you or I instead of you.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Pre- visit planning  by any means, short meeting, phone discussions etc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Mweaka to be given before the meeting to an elderly member or  village leader in any audience  </w:t>
      </w:r>
    </w:p>
    <w:p w:rsidR="00783450" w:rsidRPr="00B44442" w:rsidRDefault="00783450" w:rsidP="00B12343">
      <w:pPr>
        <w:pStyle w:val="ListParagraph"/>
        <w:numPr>
          <w:ilvl w:val="0"/>
          <w:numId w:val="2"/>
        </w:numPr>
        <w:rPr>
          <w:rFonts w:ascii="Times New Roman" w:hAnsi="Times New Roman" w:cs="Times New Roman"/>
        </w:rPr>
      </w:pPr>
      <w:r w:rsidRPr="00B44442">
        <w:rPr>
          <w:rFonts w:ascii="Times New Roman" w:hAnsi="Times New Roman" w:cs="Times New Roman"/>
        </w:rPr>
        <w:t xml:space="preserve">Note shortcomings of the presenter by passing over the paper to her / him. </w:t>
      </w:r>
    </w:p>
    <w:p w:rsidR="00783450" w:rsidRDefault="00783450" w:rsidP="00B12343">
      <w:pPr>
        <w:rPr>
          <w:sz w:val="22"/>
          <w:szCs w:val="22"/>
        </w:rPr>
      </w:pPr>
      <w:r w:rsidRPr="00B44442">
        <w:rPr>
          <w:sz w:val="22"/>
          <w:szCs w:val="22"/>
        </w:rPr>
        <w:t xml:space="preserve">Evaluation of the outer islands dissemination has not been done.  It is hoped that after RPAC this will be undertaken, also taking note of what might be raised at RPAC. </w:t>
      </w:r>
    </w:p>
    <w:p w:rsidR="00783450" w:rsidRPr="00B44442" w:rsidRDefault="00783450" w:rsidP="00B12343">
      <w:pPr>
        <w:rPr>
          <w:sz w:val="22"/>
          <w:szCs w:val="22"/>
        </w:rPr>
      </w:pPr>
    </w:p>
    <w:p w:rsidR="00783450" w:rsidRPr="00B44442" w:rsidRDefault="00783450" w:rsidP="00B12343">
      <w:pPr>
        <w:rPr>
          <w:sz w:val="22"/>
          <w:szCs w:val="22"/>
        </w:rPr>
      </w:pPr>
    </w:p>
    <w:p w:rsidR="00783450" w:rsidRDefault="00783450" w:rsidP="00B12343">
      <w:pPr>
        <w:rPr>
          <w:b/>
          <w:bCs/>
          <w:sz w:val="22"/>
          <w:szCs w:val="22"/>
        </w:rPr>
      </w:pPr>
      <w:r w:rsidRPr="00B44442">
        <w:rPr>
          <w:b/>
          <w:bCs/>
          <w:sz w:val="22"/>
          <w:szCs w:val="22"/>
        </w:rPr>
        <w:t xml:space="preserve"> DOES THE DISSEMINATION HAVE IMPACT?  </w:t>
      </w:r>
    </w:p>
    <w:p w:rsidR="00783450" w:rsidRPr="00B44442" w:rsidRDefault="00783450" w:rsidP="00B12343">
      <w:pPr>
        <w:rPr>
          <w:b/>
          <w:bCs/>
          <w:sz w:val="22"/>
          <w:szCs w:val="22"/>
        </w:rPr>
      </w:pPr>
    </w:p>
    <w:p w:rsidR="00783450" w:rsidRPr="00B44442" w:rsidRDefault="00783450" w:rsidP="00B12343">
      <w:pPr>
        <w:rPr>
          <w:sz w:val="22"/>
          <w:szCs w:val="22"/>
        </w:rPr>
      </w:pPr>
      <w:r w:rsidRPr="00B44442">
        <w:rPr>
          <w:sz w:val="22"/>
          <w:szCs w:val="22"/>
        </w:rPr>
        <w:t xml:space="preserve">The following can be noted as impact </w:t>
      </w:r>
      <w:r>
        <w:rPr>
          <w:sz w:val="22"/>
          <w:szCs w:val="22"/>
        </w:rPr>
        <w:t>of the dissemination of the research findings</w:t>
      </w:r>
      <w:r w:rsidRPr="00B44442">
        <w:rPr>
          <w:sz w:val="22"/>
          <w:szCs w:val="22"/>
        </w:rPr>
        <w:t xml:space="preserve">:  </w:t>
      </w:r>
    </w:p>
    <w:p w:rsidR="00783450" w:rsidRDefault="00783450" w:rsidP="00B12343">
      <w:pPr>
        <w:rPr>
          <w:b/>
          <w:bCs/>
          <w:sz w:val="22"/>
          <w:szCs w:val="22"/>
        </w:rPr>
      </w:pPr>
    </w:p>
    <w:p w:rsidR="00783450" w:rsidRDefault="00783450" w:rsidP="00B12343">
      <w:pPr>
        <w:rPr>
          <w:b/>
          <w:bCs/>
          <w:sz w:val="22"/>
          <w:szCs w:val="22"/>
        </w:rPr>
      </w:pPr>
      <w:r w:rsidRPr="00B44442">
        <w:rPr>
          <w:b/>
          <w:bCs/>
          <w:sz w:val="22"/>
          <w:szCs w:val="22"/>
        </w:rPr>
        <w:t>Higher a</w:t>
      </w:r>
      <w:r>
        <w:rPr>
          <w:b/>
          <w:bCs/>
          <w:sz w:val="22"/>
          <w:szCs w:val="22"/>
        </w:rPr>
        <w:t>wareness that DV/VAWC is a crime</w:t>
      </w:r>
    </w:p>
    <w:p w:rsidR="00783450" w:rsidRPr="00B44442" w:rsidRDefault="00783450" w:rsidP="00B12343">
      <w:pPr>
        <w:rPr>
          <w:b/>
          <w:bCs/>
          <w:sz w:val="22"/>
          <w:szCs w:val="22"/>
        </w:rPr>
      </w:pPr>
    </w:p>
    <w:p w:rsidR="00783450" w:rsidRDefault="00783450" w:rsidP="00B12343">
      <w:pPr>
        <w:jc w:val="both"/>
        <w:rPr>
          <w:sz w:val="22"/>
          <w:szCs w:val="22"/>
        </w:rPr>
      </w:pPr>
      <w:r w:rsidRPr="00B44442">
        <w:rPr>
          <w:sz w:val="22"/>
          <w:szCs w:val="22"/>
        </w:rPr>
        <w:t xml:space="preserve">Anecdotal report show that there had been impact of the awareness raising undertaken by the  dissemination team as well as other relevant groups like the police and the KANGO.  The KFHSS communicated well with other national teams by collecting their reports in order to know the stance of the awareness raising and to avoid high duplication of outreach programs.  It also encourages sharing of materials from the Kiribati Family Health and Support Study or Gender Based Violence and Child Abuse Study. </w:t>
      </w:r>
    </w:p>
    <w:p w:rsidR="00783450" w:rsidRPr="00B44442" w:rsidRDefault="00783450" w:rsidP="00B12343">
      <w:pPr>
        <w:jc w:val="both"/>
        <w:rPr>
          <w:sz w:val="22"/>
          <w:szCs w:val="22"/>
        </w:rPr>
      </w:pPr>
    </w:p>
    <w:p w:rsidR="00783450" w:rsidRDefault="00783450" w:rsidP="00B12343">
      <w:pPr>
        <w:rPr>
          <w:b/>
          <w:bCs/>
          <w:sz w:val="22"/>
          <w:szCs w:val="22"/>
        </w:rPr>
      </w:pPr>
      <w:r w:rsidRPr="00B44442">
        <w:rPr>
          <w:b/>
          <w:bCs/>
          <w:sz w:val="22"/>
          <w:szCs w:val="22"/>
        </w:rPr>
        <w:t xml:space="preserve">Young Boys’ topic of discussion in Bikenibeu, South Tarawa  </w:t>
      </w:r>
    </w:p>
    <w:p w:rsidR="00783450" w:rsidRPr="00B44442" w:rsidRDefault="00783450" w:rsidP="00B12343">
      <w:pPr>
        <w:rPr>
          <w:b/>
          <w:bCs/>
          <w:sz w:val="22"/>
          <w:szCs w:val="22"/>
        </w:rPr>
      </w:pPr>
    </w:p>
    <w:p w:rsidR="00783450" w:rsidRPr="00B44442" w:rsidRDefault="00783450" w:rsidP="00B12343">
      <w:pPr>
        <w:rPr>
          <w:sz w:val="22"/>
          <w:szCs w:val="22"/>
        </w:rPr>
      </w:pPr>
      <w:r w:rsidRPr="00B44442">
        <w:rPr>
          <w:sz w:val="22"/>
          <w:szCs w:val="22"/>
        </w:rPr>
        <w:t xml:space="preserve">“Hitting a woman is a very serious crime, the police were clarifying that in one maneaba.  They said, it’s six months in jail” </w:t>
      </w:r>
    </w:p>
    <w:p w:rsidR="00783450" w:rsidRPr="00B44442" w:rsidRDefault="00783450" w:rsidP="00B12343">
      <w:pPr>
        <w:rPr>
          <w:i/>
          <w:iCs/>
          <w:sz w:val="22"/>
          <w:szCs w:val="22"/>
        </w:rPr>
      </w:pPr>
      <w:r w:rsidRPr="00B44442">
        <w:rPr>
          <w:i/>
          <w:iCs/>
          <w:sz w:val="22"/>
          <w:szCs w:val="22"/>
        </w:rPr>
        <w:t xml:space="preserve">22 year old boy at hospital basketball courts, Bikenibeu. February 2009 </w:t>
      </w:r>
    </w:p>
    <w:p w:rsidR="00783450" w:rsidRDefault="00783450" w:rsidP="00B12343">
      <w:pPr>
        <w:rPr>
          <w:b/>
          <w:bCs/>
          <w:sz w:val="22"/>
          <w:szCs w:val="22"/>
        </w:rPr>
      </w:pPr>
    </w:p>
    <w:p w:rsidR="00783450" w:rsidRDefault="00783450" w:rsidP="00B12343">
      <w:pPr>
        <w:rPr>
          <w:b/>
          <w:bCs/>
          <w:sz w:val="22"/>
          <w:szCs w:val="22"/>
        </w:rPr>
      </w:pPr>
      <w:r w:rsidRPr="00B44442">
        <w:rPr>
          <w:b/>
          <w:bCs/>
          <w:sz w:val="22"/>
          <w:szCs w:val="22"/>
        </w:rPr>
        <w:t xml:space="preserve">Third Party Reporting – a Case in Eita Village, South Tarawa </w:t>
      </w:r>
    </w:p>
    <w:p w:rsidR="00783450" w:rsidRPr="00B44442" w:rsidRDefault="00783450" w:rsidP="00B12343">
      <w:pPr>
        <w:rPr>
          <w:b/>
          <w:bCs/>
          <w:sz w:val="22"/>
          <w:szCs w:val="22"/>
        </w:rPr>
      </w:pPr>
    </w:p>
    <w:p w:rsidR="00783450" w:rsidRPr="00B44442" w:rsidRDefault="00783450" w:rsidP="00B12343">
      <w:pPr>
        <w:jc w:val="both"/>
        <w:rPr>
          <w:sz w:val="22"/>
          <w:szCs w:val="22"/>
        </w:rPr>
      </w:pPr>
      <w:r w:rsidRPr="00B44442">
        <w:rPr>
          <w:sz w:val="22"/>
          <w:szCs w:val="22"/>
        </w:rPr>
        <w:t xml:space="preserve">“A neighbor who experienced regular partner physical violence had her case reported by her sister a few months back when the husband bashed her again.   When the police came, they arrested the man and told him that he was committing a crime and he should be arrested. He was lucky that the wife forgave him and pleaded to the police not to take him away.  But the great thing since that police intervention, the perpetrator has stopped bashing up his wife” </w:t>
      </w:r>
    </w:p>
    <w:p w:rsidR="00783450" w:rsidRPr="00B44442" w:rsidRDefault="00783450" w:rsidP="00B12343">
      <w:pPr>
        <w:rPr>
          <w:i/>
          <w:iCs/>
          <w:sz w:val="22"/>
          <w:szCs w:val="22"/>
        </w:rPr>
      </w:pPr>
      <w:r w:rsidRPr="00B44442">
        <w:rPr>
          <w:i/>
          <w:iCs/>
          <w:sz w:val="22"/>
          <w:szCs w:val="22"/>
        </w:rPr>
        <w:t xml:space="preserve">Eita Woman living close to the victim’s house.  20 March 2009 </w:t>
      </w:r>
    </w:p>
    <w:p w:rsidR="00783450" w:rsidRDefault="00783450" w:rsidP="00B12343">
      <w:pPr>
        <w:rPr>
          <w:b/>
          <w:bCs/>
          <w:sz w:val="22"/>
          <w:szCs w:val="22"/>
        </w:rPr>
      </w:pPr>
    </w:p>
    <w:p w:rsidR="00783450" w:rsidRDefault="00783450" w:rsidP="00B12343">
      <w:pPr>
        <w:rPr>
          <w:b/>
          <w:bCs/>
          <w:sz w:val="22"/>
          <w:szCs w:val="22"/>
        </w:rPr>
      </w:pPr>
      <w:r w:rsidRPr="00B44442">
        <w:rPr>
          <w:b/>
          <w:bCs/>
          <w:sz w:val="22"/>
          <w:szCs w:val="22"/>
        </w:rPr>
        <w:t xml:space="preserve">Case at the Catholic Crisis Center, Bikenibeu </w:t>
      </w:r>
    </w:p>
    <w:p w:rsidR="00783450" w:rsidRPr="00B44442" w:rsidRDefault="00783450" w:rsidP="00B12343">
      <w:pPr>
        <w:rPr>
          <w:b/>
          <w:bCs/>
          <w:sz w:val="22"/>
          <w:szCs w:val="22"/>
        </w:rPr>
      </w:pPr>
    </w:p>
    <w:p w:rsidR="00783450" w:rsidRPr="00B44442" w:rsidRDefault="00783450" w:rsidP="00B12343">
      <w:pPr>
        <w:rPr>
          <w:sz w:val="22"/>
          <w:szCs w:val="22"/>
        </w:rPr>
      </w:pPr>
      <w:r w:rsidRPr="00B44442">
        <w:rPr>
          <w:sz w:val="22"/>
          <w:szCs w:val="22"/>
        </w:rPr>
        <w:t xml:space="preserve">I ran away to the Crisis Center when my husband bashed me up.  He came to pick me up and the Sisters at the Crisis Center clarified to him that what he did to me was against the law and the churchs’ teaching.  Since that time, he has not hit me again.”  </w:t>
      </w:r>
    </w:p>
    <w:p w:rsidR="00783450" w:rsidRPr="00B44442" w:rsidRDefault="00783450" w:rsidP="00B12343">
      <w:pPr>
        <w:rPr>
          <w:i/>
          <w:iCs/>
          <w:sz w:val="22"/>
          <w:szCs w:val="22"/>
        </w:rPr>
      </w:pPr>
      <w:r w:rsidRPr="00B44442">
        <w:rPr>
          <w:i/>
          <w:iCs/>
          <w:sz w:val="22"/>
          <w:szCs w:val="22"/>
        </w:rPr>
        <w:t xml:space="preserve">A 48 year old victim and survivor of domestic violence ,Taborio village </w:t>
      </w:r>
    </w:p>
    <w:p w:rsidR="00783450" w:rsidRPr="00B44442" w:rsidRDefault="00783450" w:rsidP="00B12343">
      <w:pPr>
        <w:rPr>
          <w:b/>
          <w:bCs/>
          <w:sz w:val="22"/>
          <w:szCs w:val="22"/>
        </w:rPr>
      </w:pPr>
      <w:r w:rsidRPr="00B44442">
        <w:rPr>
          <w:b/>
          <w:bCs/>
          <w:sz w:val="22"/>
          <w:szCs w:val="22"/>
        </w:rPr>
        <w:t xml:space="preserve">3.2 Establishment of Domestic Violence Desks in South Tarawa Police Stations </w:t>
      </w:r>
    </w:p>
    <w:p w:rsidR="00783450" w:rsidRPr="00B44442" w:rsidRDefault="00783450" w:rsidP="00B12343">
      <w:pPr>
        <w:rPr>
          <w:sz w:val="22"/>
          <w:szCs w:val="22"/>
        </w:rPr>
      </w:pPr>
      <w:r w:rsidRPr="00B44442">
        <w:rPr>
          <w:sz w:val="22"/>
          <w:szCs w:val="22"/>
        </w:rPr>
        <w:t xml:space="preserve">In February 2010 after a training conducted by the PPDVP, all South Tarawa stations are staffed with one police official dealing solely with domestic violence and sexual abuse offences.  This is a change also following the awareness raising by the police.   The role of each police official in Betio, Bairiki, Bikenibeu and Bonriki are to do the following :  </w:t>
      </w:r>
    </w:p>
    <w:p w:rsidR="00783450" w:rsidRPr="00B44442" w:rsidRDefault="00783450" w:rsidP="00B12343">
      <w:pPr>
        <w:pStyle w:val="ListParagraph"/>
        <w:numPr>
          <w:ilvl w:val="0"/>
          <w:numId w:val="4"/>
        </w:numPr>
      </w:pPr>
      <w:r w:rsidRPr="00B44442">
        <w:t xml:space="preserve">Receive domestic violence cases </w:t>
      </w:r>
    </w:p>
    <w:p w:rsidR="00783450" w:rsidRPr="00B44442" w:rsidRDefault="00783450" w:rsidP="00B12343">
      <w:pPr>
        <w:pStyle w:val="ListParagraph"/>
        <w:numPr>
          <w:ilvl w:val="0"/>
          <w:numId w:val="3"/>
        </w:numPr>
      </w:pPr>
      <w:r w:rsidRPr="00B44442">
        <w:t xml:space="preserve">Keep strong recording of al DV/VAW cases (Refer to Okoro on 26187) </w:t>
      </w:r>
    </w:p>
    <w:p w:rsidR="00783450" w:rsidRPr="00B44442" w:rsidRDefault="00783450" w:rsidP="00B12343">
      <w:pPr>
        <w:rPr>
          <w:i/>
          <w:iCs/>
          <w:sz w:val="22"/>
          <w:szCs w:val="22"/>
        </w:rPr>
      </w:pPr>
      <w:r w:rsidRPr="00B44442">
        <w:rPr>
          <w:i/>
          <w:iCs/>
          <w:sz w:val="22"/>
          <w:szCs w:val="22"/>
        </w:rPr>
        <w:t xml:space="preserve">Police Inspector of the Domestic Violence and Sexual Offence Unit, Betio  </w:t>
      </w:r>
    </w:p>
    <w:p w:rsidR="00783450" w:rsidRDefault="00783450" w:rsidP="00B12343">
      <w:pPr>
        <w:rPr>
          <w:b/>
          <w:bCs/>
          <w:sz w:val="22"/>
          <w:szCs w:val="22"/>
        </w:rPr>
      </w:pPr>
    </w:p>
    <w:p w:rsidR="00783450" w:rsidRDefault="00783450" w:rsidP="00B12343">
      <w:pPr>
        <w:rPr>
          <w:b/>
          <w:bCs/>
          <w:sz w:val="22"/>
          <w:szCs w:val="22"/>
        </w:rPr>
      </w:pPr>
      <w:r w:rsidRPr="00B44442">
        <w:rPr>
          <w:b/>
          <w:bCs/>
          <w:sz w:val="22"/>
          <w:szCs w:val="22"/>
        </w:rPr>
        <w:t xml:space="preserve">Higher Reporting of Domestic Violence and Sexual Offence Cases </w:t>
      </w:r>
    </w:p>
    <w:p w:rsidR="00783450" w:rsidRPr="00B44442" w:rsidRDefault="00783450" w:rsidP="00B12343">
      <w:pPr>
        <w:rPr>
          <w:b/>
          <w:bCs/>
          <w:sz w:val="22"/>
          <w:szCs w:val="22"/>
        </w:rPr>
      </w:pPr>
    </w:p>
    <w:p w:rsidR="00783450" w:rsidRPr="00B44442" w:rsidRDefault="00783450" w:rsidP="00B12343">
      <w:pPr>
        <w:jc w:val="both"/>
        <w:rPr>
          <w:sz w:val="22"/>
          <w:szCs w:val="22"/>
        </w:rPr>
      </w:pPr>
      <w:r w:rsidRPr="00B44442">
        <w:rPr>
          <w:sz w:val="22"/>
          <w:szCs w:val="22"/>
        </w:rPr>
        <w:t xml:space="preserve">From January to March of this year reports of physical violence was 91 and sexual offences was 12.  According to the Inspector of the DVSO, this is a high figure within a short period of time.  The GBVCA / KFHSS is happy to share that the police are well aware of the fact that awareness raising of the issue will of course raise the reporting rate and that over some time span as people start to understand the law, the figures are expected to come down.  A question from some policemen on this issue had been raised to the team, the fear that there would be more work to be done by them through these dissemination of the findings and awareness raising by all involved.   </w:t>
      </w:r>
    </w:p>
    <w:p w:rsidR="00783450" w:rsidRDefault="00783450" w:rsidP="00B12343">
      <w:pPr>
        <w:rPr>
          <w:b/>
          <w:bCs/>
          <w:sz w:val="22"/>
          <w:szCs w:val="22"/>
        </w:rPr>
      </w:pPr>
    </w:p>
    <w:p w:rsidR="00783450" w:rsidRDefault="00783450" w:rsidP="00B12343">
      <w:pPr>
        <w:rPr>
          <w:b/>
          <w:bCs/>
          <w:sz w:val="22"/>
          <w:szCs w:val="22"/>
        </w:rPr>
      </w:pPr>
      <w:r w:rsidRPr="00B44442">
        <w:rPr>
          <w:b/>
          <w:bCs/>
          <w:sz w:val="22"/>
          <w:szCs w:val="22"/>
        </w:rPr>
        <w:t>Bi-partisan High Support from Parliamentarians 4</w:t>
      </w:r>
      <w:r w:rsidRPr="00B44442">
        <w:rPr>
          <w:b/>
          <w:bCs/>
          <w:sz w:val="22"/>
          <w:szCs w:val="22"/>
          <w:vertAlign w:val="superscript"/>
        </w:rPr>
        <w:t>th</w:t>
      </w:r>
      <w:r w:rsidRPr="00B44442">
        <w:rPr>
          <w:b/>
          <w:bCs/>
          <w:sz w:val="22"/>
          <w:szCs w:val="22"/>
        </w:rPr>
        <w:t xml:space="preserve"> Dec 2008 </w:t>
      </w:r>
    </w:p>
    <w:p w:rsidR="00783450" w:rsidRPr="00B44442" w:rsidRDefault="00783450" w:rsidP="00B12343">
      <w:pPr>
        <w:rPr>
          <w:b/>
          <w:bCs/>
          <w:sz w:val="22"/>
          <w:szCs w:val="22"/>
        </w:rPr>
      </w:pPr>
    </w:p>
    <w:p w:rsidR="00783450" w:rsidRDefault="00783450" w:rsidP="00B12343">
      <w:pPr>
        <w:jc w:val="both"/>
        <w:rPr>
          <w:sz w:val="22"/>
          <w:szCs w:val="22"/>
        </w:rPr>
      </w:pPr>
      <w:r w:rsidRPr="00B44442">
        <w:rPr>
          <w:sz w:val="22"/>
          <w:szCs w:val="22"/>
        </w:rPr>
        <w:t>On 4</w:t>
      </w:r>
      <w:r w:rsidRPr="00B44442">
        <w:rPr>
          <w:sz w:val="22"/>
          <w:szCs w:val="22"/>
          <w:vertAlign w:val="superscript"/>
        </w:rPr>
        <w:t>th</w:t>
      </w:r>
      <w:r w:rsidRPr="00B44442">
        <w:rPr>
          <w:sz w:val="22"/>
          <w:szCs w:val="22"/>
        </w:rPr>
        <w:t xml:space="preserve"> December 2008, a motion on domestic violence was discussed at parliament.  MP Teburoro Tito, former president and current MP of TUC South Tarawa raised this motion as a result of the advocacy carried out by the country forum team responsible for disseminating the findi</w:t>
      </w:r>
      <w:r>
        <w:rPr>
          <w:sz w:val="22"/>
          <w:szCs w:val="22"/>
        </w:rPr>
        <w:t>ngs.  The motion was as follows</w:t>
      </w:r>
      <w:r w:rsidRPr="00B44442">
        <w:rPr>
          <w:sz w:val="22"/>
          <w:szCs w:val="22"/>
        </w:rPr>
        <w:t xml:space="preserve">: </w:t>
      </w:r>
    </w:p>
    <w:p w:rsidR="00783450" w:rsidRDefault="00783450" w:rsidP="00B12343">
      <w:pPr>
        <w:jc w:val="both"/>
        <w:rPr>
          <w:sz w:val="22"/>
          <w:szCs w:val="22"/>
        </w:rPr>
      </w:pPr>
    </w:p>
    <w:p w:rsidR="00783450" w:rsidRPr="00B44442" w:rsidRDefault="00783450" w:rsidP="00B12343">
      <w:pPr>
        <w:jc w:val="both"/>
        <w:rPr>
          <w:sz w:val="22"/>
          <w:szCs w:val="22"/>
        </w:rPr>
      </w:pPr>
    </w:p>
    <w:p w:rsidR="00783450" w:rsidRPr="00B44442" w:rsidRDefault="00783450" w:rsidP="00B12343">
      <w:pPr>
        <w:jc w:val="both"/>
        <w:rPr>
          <w:i/>
          <w:iCs/>
          <w:sz w:val="22"/>
          <w:szCs w:val="22"/>
        </w:rPr>
      </w:pPr>
      <w:r w:rsidRPr="00B44442">
        <w:rPr>
          <w:i/>
          <w:iCs/>
          <w:sz w:val="22"/>
          <w:szCs w:val="22"/>
        </w:rPr>
        <w:t xml:space="preserve">“That this house fully supports enactment of laws and other measures aimed at reducing if not complete elimination of domestic violence that affect women and children”  </w:t>
      </w:r>
    </w:p>
    <w:p w:rsidR="00783450" w:rsidRPr="00B44442" w:rsidRDefault="00783450" w:rsidP="00B12343">
      <w:pPr>
        <w:jc w:val="both"/>
        <w:rPr>
          <w:sz w:val="22"/>
          <w:szCs w:val="22"/>
        </w:rPr>
      </w:pPr>
      <w:r w:rsidRPr="00B44442">
        <w:rPr>
          <w:sz w:val="22"/>
          <w:szCs w:val="22"/>
        </w:rPr>
        <w:t xml:space="preserve">Reference was made to the CRC, the CEDAW, the ICPD, the MDG Kiribati Report and the importance of the roles of men and women as complementary to each other in nation building.   A total of nine Members of Parliament spoke on the topic from both sides, the Opposition and the Government.  MP Teburoro Tito was among the councilors visited by the forum team on 28 June where he also gave high support with some other councilors.  </w:t>
      </w:r>
    </w:p>
    <w:p w:rsidR="00783450" w:rsidRPr="00B44442" w:rsidRDefault="00783450" w:rsidP="00B12343">
      <w:pPr>
        <w:jc w:val="both"/>
        <w:rPr>
          <w:sz w:val="22"/>
          <w:szCs w:val="22"/>
        </w:rPr>
      </w:pPr>
      <w:r w:rsidRPr="00B44442">
        <w:rPr>
          <w:sz w:val="22"/>
          <w:szCs w:val="22"/>
        </w:rPr>
        <w:t>To strengthen future interventions on addressing violence against women, the women NGOs went to sit in the chambers of parliament on 4</w:t>
      </w:r>
      <w:r w:rsidRPr="00B44442">
        <w:rPr>
          <w:sz w:val="22"/>
          <w:szCs w:val="22"/>
          <w:vertAlign w:val="superscript"/>
        </w:rPr>
        <w:t>th</w:t>
      </w:r>
      <w:r w:rsidRPr="00B44442">
        <w:rPr>
          <w:sz w:val="22"/>
          <w:szCs w:val="22"/>
        </w:rPr>
        <w:t xml:space="preserve"> December during the discussion of the motion to show their support to the motion.  At the end</w:t>
      </w:r>
      <w:r>
        <w:rPr>
          <w:sz w:val="22"/>
          <w:szCs w:val="22"/>
        </w:rPr>
        <w:t xml:space="preserve"> of the parliamentary sessions </w:t>
      </w:r>
      <w:r w:rsidRPr="00B44442">
        <w:rPr>
          <w:sz w:val="22"/>
          <w:szCs w:val="22"/>
        </w:rPr>
        <w:t xml:space="preserve">during the week, the umbrella women NGO, AMAK, prepared a special morning tea with the assistance of the GBVCA office as a token of appreciation to members of parliament. </w:t>
      </w:r>
    </w:p>
    <w:p w:rsidR="00783450" w:rsidRPr="00B44442" w:rsidRDefault="00783450" w:rsidP="00B12343">
      <w:pPr>
        <w:rPr>
          <w:sz w:val="22"/>
          <w:szCs w:val="22"/>
        </w:rPr>
      </w:pPr>
    </w:p>
    <w:p w:rsidR="00783450" w:rsidRPr="00F010BA" w:rsidRDefault="00783450" w:rsidP="00B12343"/>
    <w:p w:rsidR="00783450" w:rsidRPr="00F63557" w:rsidRDefault="00783450" w:rsidP="00B12343">
      <w:pPr>
        <w:pStyle w:val="ListParagraph"/>
        <w:numPr>
          <w:ilvl w:val="0"/>
          <w:numId w:val="1"/>
        </w:numPr>
        <w:spacing w:after="0" w:line="240" w:lineRule="auto"/>
        <w:rPr>
          <w:sz w:val="18"/>
          <w:szCs w:val="18"/>
        </w:rPr>
      </w:pPr>
      <w:r w:rsidRPr="00F63557">
        <w:rPr>
          <w:sz w:val="18"/>
          <w:szCs w:val="18"/>
        </w:rPr>
        <w:t xml:space="preserve">*Upon invite of Police Mentors from New Zealand ( Jim Sole) </w:t>
      </w:r>
    </w:p>
    <w:p w:rsidR="00783450" w:rsidRPr="00F63557" w:rsidRDefault="00783450" w:rsidP="00B12343">
      <w:pPr>
        <w:pStyle w:val="ListParagraph"/>
        <w:numPr>
          <w:ilvl w:val="0"/>
          <w:numId w:val="1"/>
        </w:numPr>
        <w:spacing w:after="0" w:line="240" w:lineRule="auto"/>
        <w:rPr>
          <w:sz w:val="18"/>
          <w:szCs w:val="18"/>
        </w:rPr>
      </w:pPr>
      <w:r w:rsidRPr="00F63557">
        <w:rPr>
          <w:sz w:val="18"/>
          <w:szCs w:val="18"/>
        </w:rPr>
        <w:t xml:space="preserve">*Upon invite of Police Mentors from New Zealand </w:t>
      </w:r>
    </w:p>
    <w:p w:rsidR="00783450" w:rsidRPr="00F63557" w:rsidRDefault="00783450" w:rsidP="00B12343">
      <w:pPr>
        <w:pStyle w:val="ListParagraph"/>
        <w:numPr>
          <w:ilvl w:val="0"/>
          <w:numId w:val="1"/>
        </w:numPr>
        <w:spacing w:after="0" w:line="240" w:lineRule="auto"/>
        <w:rPr>
          <w:sz w:val="18"/>
          <w:szCs w:val="18"/>
        </w:rPr>
      </w:pPr>
      <w:r w:rsidRPr="00F63557">
        <w:rPr>
          <w:sz w:val="18"/>
          <w:szCs w:val="18"/>
        </w:rPr>
        <w:t xml:space="preserve">**Upon invite from UNFPA </w:t>
      </w:r>
    </w:p>
    <w:p w:rsidR="00783450" w:rsidRPr="00F63557" w:rsidRDefault="00783450" w:rsidP="00B12343">
      <w:pPr>
        <w:pStyle w:val="ListParagraph"/>
        <w:numPr>
          <w:ilvl w:val="0"/>
          <w:numId w:val="1"/>
        </w:numPr>
        <w:spacing w:after="0" w:line="240" w:lineRule="auto"/>
        <w:rPr>
          <w:sz w:val="18"/>
          <w:szCs w:val="18"/>
        </w:rPr>
      </w:pPr>
      <w:r w:rsidRPr="00F63557">
        <w:rPr>
          <w:sz w:val="18"/>
          <w:szCs w:val="18"/>
        </w:rPr>
        <w:t>WRD – dissemination of the findings with the police during white ribbon day 2009</w:t>
      </w:r>
    </w:p>
    <w:p w:rsidR="00783450" w:rsidRDefault="00783450" w:rsidP="00B12343">
      <w:pPr>
        <w:rPr>
          <w:rFonts w:ascii="Calibri" w:hAnsi="Calibri" w:cs="Calibri"/>
          <w:sz w:val="18"/>
          <w:szCs w:val="18"/>
          <w:lang w:val="en-US" w:eastAsia="en-US"/>
        </w:rPr>
      </w:pPr>
    </w:p>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rsidP="00B12343"/>
    <w:tbl>
      <w:tblPr>
        <w:tblW w:w="9180" w:type="dxa"/>
        <w:tblInd w:w="-106" w:type="dxa"/>
        <w:tblLook w:val="00A0"/>
      </w:tblPr>
      <w:tblGrid>
        <w:gridCol w:w="5"/>
        <w:gridCol w:w="1101"/>
        <w:gridCol w:w="2020"/>
        <w:gridCol w:w="576"/>
        <w:gridCol w:w="2714"/>
        <w:gridCol w:w="2764"/>
      </w:tblGrid>
      <w:tr w:rsidR="00783450" w:rsidRPr="00E87602">
        <w:trPr>
          <w:trHeight w:val="495"/>
        </w:trPr>
        <w:tc>
          <w:tcPr>
            <w:tcW w:w="3424" w:type="dxa"/>
            <w:gridSpan w:val="4"/>
            <w:tcBorders>
              <w:top w:val="nil"/>
              <w:left w:val="nil"/>
              <w:bottom w:val="nil"/>
              <w:right w:val="nil"/>
            </w:tcBorders>
            <w:noWrap/>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MATRIX DISSEMINATION FORUMS</w:t>
            </w:r>
          </w:p>
        </w:tc>
        <w:tc>
          <w:tcPr>
            <w:tcW w:w="2848" w:type="dxa"/>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KIRIBATI  TOTAL PARTICIPANTS:</w:t>
            </w:r>
          </w:p>
        </w:tc>
        <w:tc>
          <w:tcPr>
            <w:tcW w:w="2908" w:type="dxa"/>
            <w:tcBorders>
              <w:top w:val="nil"/>
              <w:left w:val="nil"/>
              <w:bottom w:val="nil"/>
              <w:right w:val="nil"/>
            </w:tcBorders>
            <w:vAlign w:val="bottom"/>
          </w:tcPr>
          <w:p w:rsidR="00783450" w:rsidRPr="00E87602" w:rsidRDefault="00783450" w:rsidP="00171D2C">
            <w:pPr>
              <w:rPr>
                <w:rFonts w:eastAsia="Times New Roman"/>
                <w:color w:val="FF0000"/>
                <w:sz w:val="18"/>
                <w:szCs w:val="18"/>
                <w:lang w:val="en-AU" w:eastAsia="en-AU"/>
              </w:rPr>
            </w:pPr>
            <w:r w:rsidRPr="00E87602">
              <w:rPr>
                <w:rFonts w:eastAsia="Times New Roman"/>
                <w:color w:val="FF0000"/>
                <w:sz w:val="18"/>
                <w:szCs w:val="18"/>
                <w:lang w:val="en-AU" w:eastAsia="en-AU"/>
              </w:rPr>
              <w:t>3683 PERSONS</w:t>
            </w:r>
          </w:p>
        </w:tc>
      </w:tr>
      <w:tr w:rsidR="00783450" w:rsidRPr="00E87602">
        <w:trPr>
          <w:trHeight w:val="300"/>
        </w:trPr>
        <w:tc>
          <w:tcPr>
            <w:tcW w:w="924" w:type="dxa"/>
            <w:gridSpan w:val="2"/>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p>
        </w:tc>
        <w:tc>
          <w:tcPr>
            <w:tcW w:w="2040" w:type="dxa"/>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p>
        </w:tc>
        <w:tc>
          <w:tcPr>
            <w:tcW w:w="460" w:type="dxa"/>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p>
        </w:tc>
        <w:tc>
          <w:tcPr>
            <w:tcW w:w="2848" w:type="dxa"/>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p>
        </w:tc>
        <w:tc>
          <w:tcPr>
            <w:tcW w:w="2908" w:type="dxa"/>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p>
        </w:tc>
      </w:tr>
      <w:tr w:rsidR="00783450" w:rsidRPr="00E87602">
        <w:trPr>
          <w:trHeight w:val="300"/>
        </w:trPr>
        <w:tc>
          <w:tcPr>
            <w:tcW w:w="924" w:type="dxa"/>
            <w:gridSpan w:val="2"/>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p>
        </w:tc>
        <w:tc>
          <w:tcPr>
            <w:tcW w:w="2040" w:type="dxa"/>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p>
        </w:tc>
        <w:tc>
          <w:tcPr>
            <w:tcW w:w="460" w:type="dxa"/>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p>
        </w:tc>
        <w:tc>
          <w:tcPr>
            <w:tcW w:w="2848" w:type="dxa"/>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p>
        </w:tc>
        <w:tc>
          <w:tcPr>
            <w:tcW w:w="2908" w:type="dxa"/>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p>
        </w:tc>
      </w:tr>
      <w:tr w:rsidR="00783450" w:rsidRPr="00E87602">
        <w:trPr>
          <w:trHeight w:val="300"/>
        </w:trPr>
        <w:tc>
          <w:tcPr>
            <w:tcW w:w="924" w:type="dxa"/>
            <w:gridSpan w:val="2"/>
            <w:tcBorders>
              <w:top w:val="single" w:sz="4" w:space="0" w:color="auto"/>
              <w:left w:val="single" w:sz="4" w:space="0" w:color="auto"/>
              <w:bottom w:val="single" w:sz="4" w:space="0" w:color="auto"/>
              <w:right w:val="single" w:sz="4" w:space="0" w:color="auto"/>
            </w:tcBorders>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SITE</w:t>
            </w:r>
          </w:p>
        </w:tc>
        <w:tc>
          <w:tcPr>
            <w:tcW w:w="2040" w:type="dxa"/>
            <w:tcBorders>
              <w:top w:val="single" w:sz="4" w:space="0" w:color="auto"/>
              <w:left w:val="nil"/>
              <w:bottom w:val="single" w:sz="4" w:space="0" w:color="auto"/>
              <w:right w:val="single" w:sz="4" w:space="0" w:color="auto"/>
            </w:tcBorders>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TARGET GROUP</w:t>
            </w:r>
          </w:p>
        </w:tc>
        <w:tc>
          <w:tcPr>
            <w:tcW w:w="460" w:type="dxa"/>
            <w:tcBorders>
              <w:top w:val="single" w:sz="4" w:space="0" w:color="auto"/>
              <w:left w:val="nil"/>
              <w:bottom w:val="single" w:sz="4" w:space="0" w:color="auto"/>
              <w:right w:val="single" w:sz="4" w:space="0" w:color="auto"/>
            </w:tcBorders>
            <w:vAlign w:val="bottom"/>
          </w:tcPr>
          <w:p w:rsidR="00783450" w:rsidRPr="00E87602" w:rsidRDefault="00783450" w:rsidP="00171D2C">
            <w:pPr>
              <w:rPr>
                <w:rFonts w:eastAsia="Times New Roman"/>
                <w:b/>
                <w:bCs/>
                <w:i/>
                <w:iCs/>
                <w:color w:val="000000"/>
                <w:sz w:val="18"/>
                <w:szCs w:val="18"/>
                <w:lang w:val="en-AU" w:eastAsia="en-AU"/>
              </w:rPr>
            </w:pPr>
            <w:r w:rsidRPr="00E87602">
              <w:rPr>
                <w:rFonts w:eastAsia="Times New Roman"/>
                <w:b/>
                <w:bCs/>
                <w:i/>
                <w:iCs/>
                <w:color w:val="000000"/>
                <w:sz w:val="18"/>
                <w:szCs w:val="18"/>
                <w:lang w:val="en-AU" w:eastAsia="en-AU"/>
              </w:rPr>
              <w:t>#</w:t>
            </w:r>
          </w:p>
        </w:tc>
        <w:tc>
          <w:tcPr>
            <w:tcW w:w="2848" w:type="dxa"/>
            <w:tcBorders>
              <w:top w:val="single" w:sz="4" w:space="0" w:color="auto"/>
              <w:left w:val="nil"/>
              <w:bottom w:val="single" w:sz="4" w:space="0" w:color="auto"/>
              <w:right w:val="single" w:sz="4" w:space="0" w:color="auto"/>
            </w:tcBorders>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INITIAL REACTIONS</w:t>
            </w:r>
          </w:p>
        </w:tc>
        <w:tc>
          <w:tcPr>
            <w:tcW w:w="2908" w:type="dxa"/>
            <w:tcBorders>
              <w:top w:val="single" w:sz="4" w:space="0" w:color="auto"/>
              <w:left w:val="nil"/>
              <w:bottom w:val="single" w:sz="4" w:space="0" w:color="auto"/>
              <w:right w:val="single" w:sz="4" w:space="0" w:color="auto"/>
            </w:tcBorders>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INITIAL SUGGESTIONS</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 xml:space="preserve">URBAN KIRIBATI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52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Antebuka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Prominent Church Leaders of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4</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Sad to learn the high results of the  violence</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To include as part of catechist's </w:t>
            </w:r>
          </w:p>
        </w:tc>
      </w:tr>
      <w:tr w:rsidR="00783450" w:rsidRPr="00E87602">
        <w:trPr>
          <w:trHeight w:val="46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2 large churces KPC and Catholic</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Concerned that women are also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and Minister's duties to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violent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assist where possible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Accept that violence occurs but a bit</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shocked to learn the high results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Bairiki</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Government Officials / CS</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420</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Women seemed to take heart to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A call for various sectors from both</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the issues being raised whereas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NGO and Gov to assist in addressing</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some men seemed to question</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the social issue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Ambo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Members of Parliament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27</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Why weren't men involved in the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Call for how to address the problem</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quantitative portion of the study?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Request intervention to cover their</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Found it embarassing to know of the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islands</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high violence rate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Antebuka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Kiribati Protestant Ministers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16</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Questions on sexual violence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What do they do when couples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were raised?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visit them as had been the case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Taken personally by some men.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for victims?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Do they reconcile or what?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Betio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Catholic Catechists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38</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Taken personally by some men.</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How would their communities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and wives and Parish Priest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Some misinterprete the bible verses</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reached in the dissemination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saying women should be obedient</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and some good intervention necessary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at all times.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to curb domestic violence?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Bairiki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Ministry Secretaries and other</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11</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Very sad</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Seek the assistance of the churches as</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high level government officers</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they are close to the people.</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Educate church leaders on the issue</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as they are very influential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Betio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Kiribati Protestant Ministers</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50</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Concerned that control of alcohol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More control on alcohol selling to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Kiribati Protestant Women Reps</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consumption is not strong on the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assist in curbing the problem.</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Kiribati Protestant Leaders</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island for minors and in public places.</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Teaoraerke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Catholic Catechists and wives</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17</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Some feel the dissemination will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It is a reminding to advocate for more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encourage women to overpower the</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peaceful families by us church leaders.</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nil"/>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men.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single" w:sz="4" w:space="0" w:color="auto"/>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Some find it's sad to hear the findings.</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Teaoraereke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Councillors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15</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Sad to learn the findings but concerned</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Can the team come to visit us in our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at how it's going to be addressed.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communities?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Good discussions came after the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presentation of the findings.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Bikenibeu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Women NGO Leaders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15</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Sad to learn the findings</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Find appropriate means of intervention</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to curb VAW</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Bikenibeu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Catholic mixed (youth and adults)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340</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Youth question the laws on sexual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More outreach to the youth</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harassment</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communities was requested by the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Chief Catechist</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Bikenibeu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Health nurses and officials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18</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Never taken serious attention to victims</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Understands the importance of caring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of domestic violence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for cases of DV and or VAW</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Bonriki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Alcoholic Anonymous and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18</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Sad to learn and happy to be of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Seeks to obtain more training from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Family Recovery Members</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assistance where they can</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relevant organisations on skills related</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to curbing DV and VAWC</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Nanikai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Disabled Community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14</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Acceptance of the findings of the study</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Appreciated government's initiative</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on the issue</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Teaoraereke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Community Mixed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130</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No question raised as it was quite a big</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Thanked the visitors for the program</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community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Teaoraereke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Community Mixed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125</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Can we report as neighbours?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Further intervention was sought to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the community</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 xml:space="preserve">OUTER ISLANDS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 xml:space="preserve">Butaritari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Councilors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13</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The law is not strong enough to cases of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Further appropriate intervention was </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(North Kiribati)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domestic violence cases.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requested by the Councilors especially</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(3 sites)</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(note : before the visit a case on assault</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in addressing the gaps already felt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of a woman was dealt with in very slow</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on the island</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manner that ended up dissapointing</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the villagers)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Church Leaders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7</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Sad to learn the findings. Realised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Will play their part but might require</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that they as church leaders have a</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assistance as they lack understanding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role to contribute.</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of existing laws and how to deal with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cases of violence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Women NGO Leaders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16</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Sad to learn the findings on DV and agree</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How can the police and the justice</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it's an issue as it happens a lot on the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system on the island be more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island.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responsive?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 xml:space="preserve">Maiana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Old Men Association Executive</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4</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Very supportive to the idea of giving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Further appropriate intervention was</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(Central Kiribati)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(Te Bau ni Maiana)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support like as they already had done</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requested</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(16 sites)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eg acting as shelter to victims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Councilors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13</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Very supportive as already noticed by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imposing alcohol restrictions in all villages.</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Kiribati Protestant Ministers &amp;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12</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Appreciate that more support is given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White Ribbon Day to be nationally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Catholic catechists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to women but are concerned how men</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recognised by all churches so that</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are to be helped?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it becomes a church annual event.</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Women NGO Leaders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15</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Not much has been done on EVAW on the</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Appropriate means of encouraging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island as most of the women's time was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women NGOs carry out these awareness</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spent almost entirely on fundraisings for</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raising and support to other women</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the church.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folk through inclusion in their meetings</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etc</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12 mixed audience civil societies</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303</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Many said their villages prohibit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Training of both men and women on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consumption of alcohol so DV and VAW is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how to curb DV and VAW</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not a real big worry</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nil"/>
              <w:right w:val="nil"/>
            </w:tcBorders>
            <w:vAlign w:val="bottom"/>
          </w:tcPr>
          <w:p w:rsidR="00783450" w:rsidRPr="00E87602" w:rsidRDefault="00783450" w:rsidP="00171D2C">
            <w:pPr>
              <w:rPr>
                <w:rFonts w:eastAsia="Times New Roman"/>
                <w:color w:val="000000"/>
                <w:sz w:val="18"/>
                <w:szCs w:val="18"/>
                <w:lang w:val="en-AU" w:eastAsia="en-AU"/>
              </w:rPr>
            </w:pPr>
          </w:p>
        </w:tc>
        <w:tc>
          <w:tcPr>
            <w:tcW w:w="2908"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 xml:space="preserve">Abaiang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Councillors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40</w:t>
            </w:r>
          </w:p>
        </w:tc>
        <w:tc>
          <w:tcPr>
            <w:tcW w:w="2848" w:type="dxa"/>
            <w:tcBorders>
              <w:top w:val="single" w:sz="4" w:space="0" w:color="auto"/>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Thanked the team for sharing the finding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Seeking training of relevant service </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(North Kiribati)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with them</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providers on the island to be able to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(20 sites)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assist with cases of DV and VAW.</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Women NGO Leaders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45</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Learn that it's important to assist in prevention</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Seeking assistance in any culturally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of the problem in their role as advocates for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accepted intervention model.</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nil"/>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women issues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single" w:sz="4" w:space="0" w:color="auto"/>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Catholic catechists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30</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Were happy to work with government on the</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Seeking appropriate intervention to curb</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and support catechists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issue</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DV and VAW</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Kiribati Protestant Church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25</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Not surprised because DV is quite common on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What is the best way of helping to </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and Teachers of the KPC secondary</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the island.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stop and prevent DV and VAW from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school</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happening?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16 mixed audience in 16 villages</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530</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Why would we seek consent from our own</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How jealousy can be addressed?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wives?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 xml:space="preserve">Onotoa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Old Men Association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11</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Most of them admit that DV existed in the community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(Kiribati South)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what else they can help the situation when the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To teach women to behave well</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(21 sites)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practice is accepted by the Kiribati culture</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Women NGO leaders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5</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They strongly agree with the findings of the study</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Seeking appropriate action to address and  </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They support any initiatives to combat VAW/DV</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to solve VAW in the homes</w:t>
            </w:r>
          </w:p>
        </w:tc>
      </w:tr>
      <w:tr w:rsidR="00783450" w:rsidRPr="00E87602">
        <w:trPr>
          <w:trHeight w:val="495"/>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They support any law reform on VAW/DV</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Church Leaders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6</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They support the study findings</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trHeight w:val="300"/>
        </w:trPr>
        <w:tc>
          <w:tcPr>
            <w:tcW w:w="924" w:type="dxa"/>
            <w:gridSpan w:val="2"/>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Councillors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9</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Admit that DV existed in their community.</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Think about the bye-law or law reform</w:t>
            </w:r>
          </w:p>
        </w:tc>
      </w:tr>
      <w:tr w:rsidR="00783450" w:rsidRPr="00E87602">
        <w:trPr>
          <w:gridBefore w:val="1"/>
          <w:trHeight w:val="495"/>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Not surprised with outcome which is very high</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495"/>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17 mixed audience in 17 village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522</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Concern as this dissemination can be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Sought more means of intervention to curb</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sites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misinterpreted as a way of women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the problem.</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to be disrespectful of men.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495"/>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b/>
                <w:bCs/>
                <w:color w:val="000000"/>
                <w:sz w:val="18"/>
                <w:szCs w:val="18"/>
                <w:lang w:val="en-AU" w:eastAsia="en-AU"/>
              </w:rPr>
            </w:pPr>
            <w:r w:rsidRPr="00E87602">
              <w:rPr>
                <w:rFonts w:eastAsia="Times New Roman"/>
                <w:b/>
                <w:bCs/>
                <w:color w:val="000000"/>
                <w:sz w:val="18"/>
                <w:szCs w:val="18"/>
                <w:lang w:val="en-AU" w:eastAsia="en-AU"/>
              </w:rPr>
              <w:t xml:space="preserve">Kiritimati Island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Old Men and Mayors of the Line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7</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Very receptive to the study and government's</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Appropriate intervention was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(13 sites)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Islands</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involvement in addressing VAW / DV</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requested which should take the three</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islands of the Line Group</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Use of the media was also requested.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615"/>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3 women NGOs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Kava drinking is our worry because the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More education of women and men on </w:t>
            </w:r>
          </w:p>
        </w:tc>
      </w:tr>
      <w:tr w:rsidR="00783450" w:rsidRPr="00E87602">
        <w:trPr>
          <w:gridBefore w:val="1"/>
          <w:trHeight w:val="495"/>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(Nei Baneawa, RAK &amp; Teitoningaina)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100</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the men do less help in the home.</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communication and respect of one another</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Poor communication between couples.</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51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Kiritimati Police Services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12</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Not new to the issue as they had been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Were happy to have the support of MISA</w:t>
            </w:r>
          </w:p>
        </w:tc>
      </w:tr>
      <w:tr w:rsidR="00783450" w:rsidRPr="00E87602">
        <w:trPr>
          <w:gridBefore w:val="1"/>
          <w:trHeight w:val="495"/>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trained to attend to DV cases and VAW matters</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and do not mind being involved.</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525"/>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8 community sites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Raised concerns on higher consumption</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Sought enforcement of alcohol selling to </w:t>
            </w:r>
          </w:p>
        </w:tc>
      </w:tr>
      <w:tr w:rsidR="00783450" w:rsidRPr="00E87602">
        <w:trPr>
          <w:gridBefore w:val="1"/>
          <w:trHeight w:val="57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(4 Catholic Communities, 1 KPC</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of alcohol by the young people.</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minors and how to educate families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community, 2 secondary schools,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on preventing DV and VAW.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1 mixed church youth)</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700</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r w:rsidR="00783450" w:rsidRPr="00E87602">
        <w:trPr>
          <w:gridBefore w:val="1"/>
          <w:trHeight w:val="300"/>
        </w:trPr>
        <w:tc>
          <w:tcPr>
            <w:tcW w:w="924" w:type="dxa"/>
            <w:tcBorders>
              <w:top w:val="nil"/>
              <w:left w:val="single" w:sz="4" w:space="0" w:color="auto"/>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xml:space="preserve">TOTAL </w:t>
            </w:r>
          </w:p>
        </w:tc>
        <w:tc>
          <w:tcPr>
            <w:tcW w:w="2040"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460" w:type="dxa"/>
            <w:tcBorders>
              <w:top w:val="nil"/>
              <w:left w:val="nil"/>
              <w:bottom w:val="single" w:sz="4" w:space="0" w:color="auto"/>
              <w:right w:val="single" w:sz="4" w:space="0" w:color="auto"/>
            </w:tcBorders>
            <w:vAlign w:val="bottom"/>
          </w:tcPr>
          <w:p w:rsidR="00783450" w:rsidRPr="00E87602" w:rsidRDefault="00783450" w:rsidP="00171D2C">
            <w:pPr>
              <w:jc w:val="right"/>
              <w:rPr>
                <w:rFonts w:eastAsia="Times New Roman"/>
                <w:color w:val="000000"/>
                <w:sz w:val="18"/>
                <w:szCs w:val="18"/>
                <w:lang w:val="en-AU" w:eastAsia="en-AU"/>
              </w:rPr>
            </w:pPr>
            <w:r w:rsidRPr="00E87602">
              <w:rPr>
                <w:rFonts w:eastAsia="Times New Roman"/>
                <w:color w:val="000000"/>
                <w:sz w:val="18"/>
                <w:szCs w:val="18"/>
                <w:lang w:val="en-AU" w:eastAsia="en-AU"/>
              </w:rPr>
              <w:t>3683</w:t>
            </w:r>
          </w:p>
        </w:tc>
        <w:tc>
          <w:tcPr>
            <w:tcW w:w="284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c>
          <w:tcPr>
            <w:tcW w:w="2908" w:type="dxa"/>
            <w:tcBorders>
              <w:top w:val="nil"/>
              <w:left w:val="nil"/>
              <w:bottom w:val="single" w:sz="4" w:space="0" w:color="auto"/>
              <w:right w:val="single" w:sz="4" w:space="0" w:color="auto"/>
            </w:tcBorders>
            <w:vAlign w:val="bottom"/>
          </w:tcPr>
          <w:p w:rsidR="00783450" w:rsidRPr="00E87602" w:rsidRDefault="00783450" w:rsidP="00171D2C">
            <w:pPr>
              <w:rPr>
                <w:rFonts w:eastAsia="Times New Roman"/>
                <w:color w:val="000000"/>
                <w:sz w:val="18"/>
                <w:szCs w:val="18"/>
                <w:lang w:val="en-AU" w:eastAsia="en-AU"/>
              </w:rPr>
            </w:pPr>
            <w:r w:rsidRPr="00E87602">
              <w:rPr>
                <w:rFonts w:eastAsia="Times New Roman"/>
                <w:color w:val="000000"/>
                <w:sz w:val="18"/>
                <w:szCs w:val="18"/>
                <w:lang w:val="en-AU" w:eastAsia="en-AU"/>
              </w:rPr>
              <w:t> </w:t>
            </w:r>
          </w:p>
        </w:tc>
      </w:tr>
    </w:tbl>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rsidP="00B12343"/>
    <w:p w:rsidR="00783450" w:rsidRDefault="00783450"/>
    <w:sectPr w:rsidR="00783450" w:rsidSect="00191492">
      <w:footerReference w:type="default" r:id="rId7"/>
      <w:pgSz w:w="11906" w:h="16838"/>
      <w:pgMar w:top="1440" w:right="1440" w:bottom="1440" w:left="1440" w:header="708" w:footer="708"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50" w:rsidRDefault="00783450">
      <w:r>
        <w:separator/>
      </w:r>
    </w:p>
  </w:endnote>
  <w:endnote w:type="continuationSeparator" w:id="0">
    <w:p w:rsidR="00783450" w:rsidRDefault="00783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MS Mincho">
    <w:altName w:val="?? ?玃"/>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50" w:rsidRPr="00191492" w:rsidRDefault="00783450" w:rsidP="00191492">
    <w:pPr>
      <w:pStyle w:val="Footer"/>
      <w:jc w:val="center"/>
      <w:rPr>
        <w:rFonts w:eastAsia="新細明體"/>
        <w:lang w:eastAsia="zh-TW"/>
      </w:rPr>
    </w:pPr>
    <w:r>
      <w:rPr>
        <w:rFonts w:eastAsia="新細明體"/>
        <w:lang w:eastAsia="zh-TW"/>
      </w:rPr>
      <w:t>Kir0327-R</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50" w:rsidRDefault="00783450">
      <w:r>
        <w:separator/>
      </w:r>
    </w:p>
  </w:footnote>
  <w:footnote w:type="continuationSeparator" w:id="0">
    <w:p w:rsidR="00783450" w:rsidRDefault="00783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439D0"/>
    <w:multiLevelType w:val="hybridMultilevel"/>
    <w:tmpl w:val="D7F0D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2B6E4FAF"/>
    <w:multiLevelType w:val="hybridMultilevel"/>
    <w:tmpl w:val="4FD048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4226D99"/>
    <w:multiLevelType w:val="hybridMultilevel"/>
    <w:tmpl w:val="A40291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A9B5279"/>
    <w:multiLevelType w:val="hybridMultilevel"/>
    <w:tmpl w:val="DDF250CE"/>
    <w:lvl w:ilvl="0" w:tplc="0646F718">
      <w:start w:val="1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doNotHyphenateCaps/>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343"/>
    <w:rsid w:val="0015190D"/>
    <w:rsid w:val="00171D2C"/>
    <w:rsid w:val="00191492"/>
    <w:rsid w:val="0023708E"/>
    <w:rsid w:val="003679FF"/>
    <w:rsid w:val="00401EAD"/>
    <w:rsid w:val="005D145E"/>
    <w:rsid w:val="00746030"/>
    <w:rsid w:val="00783450"/>
    <w:rsid w:val="00B12343"/>
    <w:rsid w:val="00B44442"/>
    <w:rsid w:val="00BF4140"/>
    <w:rsid w:val="00E87602"/>
    <w:rsid w:val="00EC0BAC"/>
    <w:rsid w:val="00F010BA"/>
    <w:rsid w:val="00F635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43"/>
    <w:rPr>
      <w:rFonts w:ascii="Times New Roman" w:eastAsia="MS Mincho" w:hAnsi="Times New Roman"/>
      <w:kern w:val="0"/>
      <w:sz w:val="20"/>
      <w:szCs w:val="20"/>
      <w:lang w:val="en-GB"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2343"/>
    <w:pPr>
      <w:spacing w:after="200" w:line="276" w:lineRule="auto"/>
      <w:ind w:left="720"/>
    </w:pPr>
    <w:rPr>
      <w:rFonts w:ascii="Calibri" w:eastAsia="新細明體" w:hAnsi="Calibri" w:cs="Calibri"/>
      <w:sz w:val="22"/>
      <w:szCs w:val="22"/>
      <w:lang w:val="en-US" w:eastAsia="en-US"/>
    </w:rPr>
  </w:style>
  <w:style w:type="paragraph" w:styleId="Header">
    <w:name w:val="header"/>
    <w:basedOn w:val="Normal"/>
    <w:link w:val="HeaderChar"/>
    <w:uiPriority w:val="99"/>
    <w:rsid w:val="00191492"/>
    <w:pPr>
      <w:tabs>
        <w:tab w:val="center" w:pos="4153"/>
        <w:tab w:val="right" w:pos="8306"/>
      </w:tabs>
      <w:snapToGrid w:val="0"/>
    </w:pPr>
  </w:style>
  <w:style w:type="character" w:customStyle="1" w:styleId="HeaderChar">
    <w:name w:val="Header Char"/>
    <w:basedOn w:val="DefaultParagraphFont"/>
    <w:link w:val="Header"/>
    <w:uiPriority w:val="99"/>
    <w:semiHidden/>
    <w:locked/>
    <w:rPr>
      <w:rFonts w:ascii="Times New Roman" w:eastAsia="MS Mincho" w:hAnsi="Times New Roman" w:cs="Times New Roman"/>
      <w:kern w:val="0"/>
      <w:sz w:val="20"/>
      <w:szCs w:val="20"/>
      <w:lang w:val="en-GB" w:eastAsia="ja-JP"/>
    </w:rPr>
  </w:style>
  <w:style w:type="paragraph" w:styleId="Footer">
    <w:name w:val="footer"/>
    <w:basedOn w:val="Normal"/>
    <w:link w:val="FooterChar"/>
    <w:uiPriority w:val="99"/>
    <w:rsid w:val="00191492"/>
    <w:pPr>
      <w:tabs>
        <w:tab w:val="center" w:pos="4153"/>
        <w:tab w:val="right" w:pos="8306"/>
      </w:tabs>
      <w:snapToGrid w:val="0"/>
    </w:pPr>
  </w:style>
  <w:style w:type="character" w:customStyle="1" w:styleId="FooterChar">
    <w:name w:val="Footer Char"/>
    <w:basedOn w:val="DefaultParagraphFont"/>
    <w:link w:val="Footer"/>
    <w:uiPriority w:val="99"/>
    <w:semiHidden/>
    <w:locked/>
    <w:rPr>
      <w:rFonts w:ascii="Times New Roman" w:eastAsia="MS Mincho" w:hAnsi="Times New Roman" w:cs="Times New Roman"/>
      <w:kern w:val="0"/>
      <w:sz w:val="20"/>
      <w:szCs w:val="20"/>
      <w:lang w:val="en-GB" w:eastAsia="ja-JP"/>
    </w:rPr>
  </w:style>
  <w:style w:type="character" w:styleId="PageNumber">
    <w:name w:val="page number"/>
    <w:basedOn w:val="DefaultParagraphFont"/>
    <w:uiPriority w:val="99"/>
    <w:rsid w:val="001914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2672</Words>
  <Characters>15233</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DISSEMINATION REPORT KIRIBATI</dc:title>
  <dc:subject/>
  <dc:creator>Mia Rimon</dc:creator>
  <cp:keywords/>
  <dc:description/>
  <cp:lastModifiedBy>mofa</cp:lastModifiedBy>
  <cp:revision>2</cp:revision>
  <dcterms:created xsi:type="dcterms:W3CDTF">2011-07-07T07:59:00Z</dcterms:created>
  <dcterms:modified xsi:type="dcterms:W3CDTF">2011-07-07T07:59:00Z</dcterms:modified>
</cp:coreProperties>
</file>